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4E34"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Privacy policy</w:t>
      </w:r>
    </w:p>
    <w:p w14:paraId="00000002" w14:textId="77777777" w:rsidR="00574E34" w:rsidRDefault="00000000">
      <w:pPr>
        <w:pBdr>
          <w:top w:val="nil"/>
          <w:left w:val="nil"/>
          <w:bottom w:val="nil"/>
          <w:right w:val="nil"/>
          <w:between w:val="nil"/>
        </w:pBdr>
        <w:tabs>
          <w:tab w:val="left" w:pos="600"/>
        </w:tabs>
        <w:spacing w:after="0" w:line="240" w:lineRule="auto"/>
        <w:rPr>
          <w:b/>
          <w:color w:val="000000"/>
          <w:sz w:val="20"/>
          <w:szCs w:val="20"/>
        </w:rPr>
      </w:pPr>
      <w:r>
        <w:rPr>
          <w:b/>
          <w:color w:val="000000"/>
          <w:sz w:val="20"/>
          <w:szCs w:val="20"/>
        </w:rPr>
        <w:t>1.</w:t>
      </w:r>
      <w:r>
        <w:rPr>
          <w:b/>
          <w:color w:val="000000"/>
          <w:sz w:val="20"/>
          <w:szCs w:val="20"/>
        </w:rPr>
        <w:tab/>
        <w:t>Introduction</w:t>
      </w:r>
    </w:p>
    <w:p w14:paraId="00000003"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1.1</w:t>
      </w:r>
      <w:r>
        <w:rPr>
          <w:color w:val="000000"/>
          <w:sz w:val="20"/>
          <w:szCs w:val="20"/>
        </w:rPr>
        <w:tab/>
        <w:t>We are committed to safeguarding the privacy of our website visitors, mobile application users, and service users.</w:t>
      </w:r>
    </w:p>
    <w:p w14:paraId="00000004"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1.2</w:t>
      </w:r>
      <w:r>
        <w:rPr>
          <w:color w:val="000000"/>
          <w:sz w:val="20"/>
          <w:szCs w:val="20"/>
        </w:rPr>
        <w:tab/>
        <w:t>This policy applies where we are acting as a data controller with respect to the personal data of our website visitors, mobile application users and service users; in other words, where we determine the purposes and means of the processing of that personal data.</w:t>
      </w:r>
    </w:p>
    <w:p w14:paraId="00000005"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1.3</w:t>
      </w:r>
      <w:r>
        <w:rPr>
          <w:color w:val="000000"/>
          <w:sz w:val="20"/>
          <w:szCs w:val="20"/>
        </w:rPr>
        <w:tab/>
        <w:t>We may use cookies on our website. Insofar as those cookies are not strictly necessary for the provision of our website and services, we will ask you to consent to our use of cookies when you first visit our website.</w:t>
      </w:r>
    </w:p>
    <w:p w14:paraId="00000006"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1.4</w:t>
      </w:r>
      <w:r>
        <w:rPr>
          <w:color w:val="000000"/>
          <w:sz w:val="20"/>
          <w:szCs w:val="20"/>
        </w:rPr>
        <w:tab/>
        <w:t xml:space="preserve">In this policy, "we", "us" and "our" refer to Cambridge Digital Health Ltd, for more information please visit </w:t>
      </w:r>
      <w:hyperlink r:id="rId5">
        <w:r>
          <w:rPr>
            <w:color w:val="000000"/>
            <w:sz w:val="20"/>
            <w:szCs w:val="20"/>
          </w:rPr>
          <w:t>www.cambridgedigitalhealth.co.uk</w:t>
        </w:r>
      </w:hyperlink>
      <w:r>
        <w:rPr>
          <w:color w:val="000000"/>
          <w:sz w:val="20"/>
          <w:szCs w:val="20"/>
        </w:rPr>
        <w:t>.</w:t>
      </w:r>
    </w:p>
    <w:p w14:paraId="00000007"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bookmarkStart w:id="0" w:name="_heading=h.gjdgxs" w:colFirst="0" w:colLast="0"/>
      <w:bookmarkEnd w:id="0"/>
      <w:r>
        <w:rPr>
          <w:color w:val="000000"/>
          <w:sz w:val="20"/>
          <w:szCs w:val="20"/>
        </w:rPr>
        <w:t xml:space="preserve">1.5 </w:t>
      </w:r>
      <w:r>
        <w:rPr>
          <w:color w:val="000000"/>
          <w:sz w:val="20"/>
          <w:szCs w:val="20"/>
        </w:rPr>
        <w:tab/>
        <w:t>In this policy, “mobile application” refers to any of the mobile applications developed by Cambridge digital Health</w:t>
      </w:r>
    </w:p>
    <w:p w14:paraId="00000008" w14:textId="77777777" w:rsidR="00574E34" w:rsidRDefault="00000000">
      <w:pPr>
        <w:pBdr>
          <w:top w:val="nil"/>
          <w:left w:val="nil"/>
          <w:bottom w:val="nil"/>
          <w:right w:val="nil"/>
          <w:between w:val="nil"/>
        </w:pBdr>
        <w:tabs>
          <w:tab w:val="left" w:pos="600"/>
        </w:tabs>
        <w:spacing w:after="0" w:line="240" w:lineRule="auto"/>
        <w:rPr>
          <w:b/>
          <w:color w:val="000000"/>
          <w:sz w:val="20"/>
          <w:szCs w:val="20"/>
        </w:rPr>
      </w:pPr>
      <w:r>
        <w:rPr>
          <w:b/>
          <w:color w:val="000000"/>
          <w:sz w:val="20"/>
          <w:szCs w:val="20"/>
        </w:rPr>
        <w:t>2.</w:t>
      </w:r>
      <w:r>
        <w:rPr>
          <w:b/>
          <w:color w:val="000000"/>
          <w:sz w:val="20"/>
          <w:szCs w:val="20"/>
        </w:rPr>
        <w:tab/>
        <w:t>How we use your personal data</w:t>
      </w:r>
    </w:p>
    <w:p w14:paraId="00000009"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2.1</w:t>
      </w:r>
      <w:r>
        <w:rPr>
          <w:color w:val="000000"/>
          <w:sz w:val="20"/>
          <w:szCs w:val="20"/>
        </w:rPr>
        <w:tab/>
        <w:t>In this Section 2 we have set out:</w:t>
      </w:r>
    </w:p>
    <w:p w14:paraId="0000000A"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(a)</w:t>
      </w:r>
      <w:r>
        <w:rPr>
          <w:color w:val="000000"/>
          <w:sz w:val="20"/>
          <w:szCs w:val="20"/>
        </w:rPr>
        <w:tab/>
        <w:t>the general categories of personal data that we may process;</w:t>
      </w:r>
    </w:p>
    <w:p w14:paraId="0000000B"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(c)</w:t>
      </w:r>
      <w:r>
        <w:rPr>
          <w:color w:val="000000"/>
          <w:sz w:val="20"/>
          <w:szCs w:val="20"/>
        </w:rPr>
        <w:tab/>
        <w:t>the purposes for which we may process personal data; and</w:t>
      </w:r>
    </w:p>
    <w:p w14:paraId="0000000C"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(d)</w:t>
      </w:r>
      <w:r>
        <w:rPr>
          <w:color w:val="000000"/>
          <w:sz w:val="20"/>
          <w:szCs w:val="20"/>
        </w:rPr>
        <w:tab/>
        <w:t>the legal bases of the processing.</w:t>
      </w:r>
    </w:p>
    <w:p w14:paraId="0000000D"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2.2</w:t>
      </w:r>
      <w:r>
        <w:rPr>
          <w:color w:val="000000"/>
          <w:sz w:val="20"/>
          <w:szCs w:val="20"/>
        </w:rPr>
        <w:tab/>
        <w:t>We may process data about your use of the mobile application and related services ("</w:t>
      </w:r>
      <w:r>
        <w:rPr>
          <w:b/>
          <w:color w:val="000000"/>
          <w:sz w:val="20"/>
          <w:szCs w:val="20"/>
        </w:rPr>
        <w:t>usage data</w:t>
      </w:r>
      <w:r>
        <w:rPr>
          <w:color w:val="000000"/>
          <w:sz w:val="20"/>
          <w:szCs w:val="20"/>
        </w:rPr>
        <w:t xml:space="preserve">"). The usage data may include your IP address, geographical location, browser type and version, operating system, referral source, length of visit, page views and navigation paths, as well as information about the timing, frequency and pattern of your mobile application and service use. The source of the usage data is our analytics tracking system. This usage data may be processed for the purposes of </w:t>
      </w:r>
      <w:proofErr w:type="spellStart"/>
      <w:r>
        <w:rPr>
          <w:color w:val="000000"/>
          <w:sz w:val="20"/>
          <w:szCs w:val="20"/>
        </w:rPr>
        <w:t>analysing</w:t>
      </w:r>
      <w:proofErr w:type="spellEnd"/>
      <w:r>
        <w:rPr>
          <w:color w:val="000000"/>
          <w:sz w:val="20"/>
          <w:szCs w:val="20"/>
        </w:rPr>
        <w:t xml:space="preserve"> the use of the website mobile application and services. The legal basis for this processing is our legitimate interests, namely monitoring and improving our mobile application and services.</w:t>
      </w:r>
    </w:p>
    <w:p w14:paraId="0000000E"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2.3</w:t>
      </w:r>
      <w:r>
        <w:rPr>
          <w:color w:val="000000"/>
          <w:sz w:val="20"/>
          <w:szCs w:val="20"/>
        </w:rPr>
        <w:tab/>
        <w:t>We may process your account data ("</w:t>
      </w:r>
      <w:r>
        <w:rPr>
          <w:b/>
          <w:color w:val="000000"/>
          <w:sz w:val="20"/>
          <w:szCs w:val="20"/>
        </w:rPr>
        <w:t>account data</w:t>
      </w:r>
      <w:r>
        <w:rPr>
          <w:color w:val="000000"/>
          <w:sz w:val="20"/>
          <w:szCs w:val="20"/>
        </w:rPr>
        <w:t>"). The account data may include your name and email address. The source of the account data is the information that you have added when you registered to use the application and related services. Occasionally, we may need to contact some users to confirm account data and this can be done via email or phone call. The account data may be processed for the purposes of operating the mobile application, providing our services, ensuring the security of related applications and services, maintaining back-ups of our databases and communicating with you. The legal basis for this processing is our legitimate interests, namely the proper administration of the mobile application and our business.</w:t>
      </w:r>
    </w:p>
    <w:p w14:paraId="0000000F" w14:textId="01F87653"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2.4</w:t>
      </w:r>
      <w:r>
        <w:rPr>
          <w:color w:val="000000"/>
          <w:sz w:val="20"/>
          <w:szCs w:val="20"/>
        </w:rPr>
        <w:tab/>
        <w:t>We may process your information included in your personal profile on our mobile application ("</w:t>
      </w:r>
      <w:r>
        <w:rPr>
          <w:b/>
          <w:color w:val="000000"/>
          <w:sz w:val="20"/>
          <w:szCs w:val="20"/>
        </w:rPr>
        <w:t>profile data</w:t>
      </w:r>
      <w:r>
        <w:rPr>
          <w:color w:val="000000"/>
          <w:sz w:val="20"/>
          <w:szCs w:val="20"/>
        </w:rPr>
        <w:t xml:space="preserve">"). The profile data may include your name, email address, employment details such as hospital </w:t>
      </w:r>
      <w:r w:rsidR="00324931">
        <w:rPr>
          <w:color w:val="000000"/>
          <w:sz w:val="20"/>
          <w:szCs w:val="20"/>
        </w:rPr>
        <w:t xml:space="preserve">or university </w:t>
      </w:r>
      <w:r>
        <w:rPr>
          <w:color w:val="000000"/>
          <w:sz w:val="20"/>
          <w:szCs w:val="20"/>
        </w:rPr>
        <w:t xml:space="preserve">and unit that you work in (in the case of medical </w:t>
      </w:r>
      <w:r w:rsidR="00324931">
        <w:rPr>
          <w:color w:val="000000"/>
          <w:sz w:val="20"/>
          <w:szCs w:val="20"/>
        </w:rPr>
        <w:t xml:space="preserve">or teaching </w:t>
      </w:r>
      <w:r>
        <w:rPr>
          <w:color w:val="000000"/>
          <w:sz w:val="20"/>
          <w:szCs w:val="20"/>
        </w:rPr>
        <w:t>professionals). The profile data may be processed for the purposes of enabling and monitoring your use of the mobile application and related services. The legal basis for this processing is our legitimate interests, namely the proper administration of the mobile application and our business.</w:t>
      </w:r>
    </w:p>
    <w:p w14:paraId="00000010" w14:textId="77777777" w:rsidR="00574E34" w:rsidRDefault="00574E34">
      <w:pPr>
        <w:pBdr>
          <w:top w:val="nil"/>
          <w:left w:val="nil"/>
          <w:bottom w:val="nil"/>
          <w:right w:val="nil"/>
          <w:between w:val="nil"/>
        </w:pBdr>
        <w:tabs>
          <w:tab w:val="left" w:pos="600"/>
        </w:tabs>
        <w:spacing w:after="0" w:line="240" w:lineRule="auto"/>
        <w:ind w:left="600" w:hanging="600"/>
        <w:rPr>
          <w:color w:val="000000"/>
          <w:sz w:val="20"/>
          <w:szCs w:val="20"/>
        </w:rPr>
      </w:pPr>
    </w:p>
    <w:p w14:paraId="00000011"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2.5</w:t>
      </w:r>
      <w:r>
        <w:rPr>
          <w:color w:val="000000"/>
          <w:sz w:val="20"/>
          <w:szCs w:val="20"/>
        </w:rPr>
        <w:tab/>
        <w:t>We may process your personal data that are provided in the course of the use of our services ("</w:t>
      </w:r>
      <w:r>
        <w:rPr>
          <w:b/>
          <w:color w:val="000000"/>
          <w:sz w:val="20"/>
          <w:szCs w:val="20"/>
        </w:rPr>
        <w:t>service data</w:t>
      </w:r>
      <w:r>
        <w:rPr>
          <w:color w:val="000000"/>
          <w:sz w:val="20"/>
          <w:szCs w:val="20"/>
        </w:rPr>
        <w:t xml:space="preserve">"). The service data may include the date and time at which you have used the service, and the information that you have recorded. The source of the service data is what you have recorded on the mobile or web application(s). The service data may be processed for the purposes of operating the mobile application, providing our services, ensuring the security of the mobile application and services, maintaining back-ups of </w:t>
      </w:r>
      <w:r>
        <w:rPr>
          <w:color w:val="000000"/>
          <w:sz w:val="20"/>
          <w:szCs w:val="20"/>
        </w:rPr>
        <w:lastRenderedPageBreak/>
        <w:t>our databases and communicating with you. The legal basis for this processing is our legitimate interests, namely the proper administration of our website and business.</w:t>
      </w:r>
    </w:p>
    <w:p w14:paraId="00000012"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2.6</w:t>
      </w:r>
      <w:r>
        <w:rPr>
          <w:color w:val="000000"/>
          <w:sz w:val="20"/>
          <w:szCs w:val="20"/>
        </w:rPr>
        <w:tab/>
        <w:t>We may process any of your personal data identified in this policy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00000013"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2.7</w:t>
      </w:r>
      <w:r>
        <w:rPr>
          <w:color w:val="000000"/>
          <w:sz w:val="20"/>
          <w:szCs w:val="20"/>
        </w:rPr>
        <w:tab/>
        <w:t>In addition to the specific purposes for which we may process your personal data set out in this Section 2, we may also process any of your personal data where such processing is necessary for compliance with a legal obligation to which we are subject, or in order to protect your vital interests or the vital interests of another natural person.</w:t>
      </w:r>
    </w:p>
    <w:p w14:paraId="00000014"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2.8</w:t>
      </w:r>
      <w:r>
        <w:rPr>
          <w:color w:val="000000"/>
          <w:sz w:val="20"/>
          <w:szCs w:val="20"/>
        </w:rPr>
        <w:tab/>
        <w:t>Please do not supply any  personal data to us,  unless we prompt you to do so.</w:t>
      </w:r>
    </w:p>
    <w:p w14:paraId="00000015" w14:textId="77777777" w:rsidR="00574E34" w:rsidRDefault="00000000">
      <w:pPr>
        <w:pBdr>
          <w:top w:val="nil"/>
          <w:left w:val="nil"/>
          <w:bottom w:val="nil"/>
          <w:right w:val="nil"/>
          <w:between w:val="nil"/>
        </w:pBdr>
        <w:tabs>
          <w:tab w:val="left" w:pos="600"/>
        </w:tabs>
        <w:spacing w:after="0" w:line="240" w:lineRule="auto"/>
        <w:rPr>
          <w:color w:val="000000"/>
        </w:rPr>
      </w:pPr>
      <w:r>
        <w:rPr>
          <w:b/>
          <w:color w:val="000000"/>
          <w:sz w:val="20"/>
          <w:szCs w:val="20"/>
        </w:rPr>
        <w:t>3.</w:t>
      </w:r>
      <w:r>
        <w:rPr>
          <w:b/>
          <w:color w:val="000000"/>
          <w:sz w:val="20"/>
          <w:szCs w:val="20"/>
        </w:rPr>
        <w:tab/>
        <w:t>Providing your personal data to others</w:t>
      </w:r>
    </w:p>
    <w:p w14:paraId="00000016"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3.1    An administrator in your organisation will provide the system with your name and email address and will therefore have access to this data in the app. Any test results are only visible if you choose to share them.</w:t>
      </w:r>
    </w:p>
    <w:p w14:paraId="00000017"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3.2</w:t>
      </w:r>
      <w:r>
        <w:rPr>
          <w:color w:val="000000"/>
          <w:sz w:val="20"/>
          <w:szCs w:val="20"/>
        </w:rPr>
        <w:tab/>
        <w:t>We may disclose your personal data to any member of our company insofar as reasonably necessary for the purposes, and on the legal bases, set out in this policy. Information about our group of companies can be found at www.cambridgedigitalhealth.co.uk.</w:t>
      </w:r>
    </w:p>
    <w:p w14:paraId="00000018"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3.3</w:t>
      </w:r>
      <w:r>
        <w:rPr>
          <w:color w:val="000000"/>
          <w:sz w:val="20"/>
          <w:szCs w:val="20"/>
        </w:rPr>
        <w:tab/>
        <w:t>We may disclose your personal data to our insurers and/or professional advisers insofar as reasonably necessary for the purposes of obtaining or maintaining insurance coverage, managing risks, obtaining professional advice, or the establishment, exercise or defence of legal claims, whether in court proceedings or in an administrative or out-of-court procedure.</w:t>
      </w:r>
    </w:p>
    <w:p w14:paraId="00000019"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t>3.4</w:t>
      </w:r>
      <w:r>
        <w:rPr>
          <w:color w:val="000000"/>
          <w:sz w:val="20"/>
          <w:szCs w:val="20"/>
        </w:rPr>
        <w:tab/>
        <w:t xml:space="preserve">We may disclose aggregated summary of anonymised data to your organisation (subscribing to our services).  </w:t>
      </w:r>
    </w:p>
    <w:p w14:paraId="0000001A"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3.5</w:t>
      </w:r>
      <w:r>
        <w:rPr>
          <w:color w:val="000000"/>
          <w:sz w:val="20"/>
          <w:szCs w:val="20"/>
        </w:rPr>
        <w:tab/>
        <w:t>In addition to the specific disclosures of personal data set out in this Section 3,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0000001B" w14:textId="77777777" w:rsidR="00574E34" w:rsidRDefault="00000000">
      <w:pPr>
        <w:pBdr>
          <w:top w:val="nil"/>
          <w:left w:val="nil"/>
          <w:bottom w:val="nil"/>
          <w:right w:val="nil"/>
          <w:between w:val="nil"/>
        </w:pBdr>
        <w:tabs>
          <w:tab w:val="left" w:pos="600"/>
        </w:tabs>
        <w:spacing w:after="0" w:line="240" w:lineRule="auto"/>
        <w:rPr>
          <w:b/>
          <w:color w:val="000000"/>
          <w:sz w:val="20"/>
          <w:szCs w:val="20"/>
        </w:rPr>
      </w:pPr>
      <w:r>
        <w:rPr>
          <w:b/>
          <w:color w:val="000000"/>
          <w:sz w:val="20"/>
          <w:szCs w:val="20"/>
        </w:rPr>
        <w:t>4.</w:t>
      </w:r>
      <w:r>
        <w:rPr>
          <w:b/>
          <w:color w:val="000000"/>
          <w:sz w:val="20"/>
          <w:szCs w:val="20"/>
        </w:rPr>
        <w:tab/>
        <w:t>International transfers of your personal data</w:t>
      </w:r>
    </w:p>
    <w:p w14:paraId="0000001C"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4.1</w:t>
      </w:r>
      <w:r>
        <w:rPr>
          <w:color w:val="000000"/>
          <w:sz w:val="20"/>
          <w:szCs w:val="20"/>
        </w:rPr>
        <w:tab/>
        <w:t>In this Section 4, we provide information about the circumstances in which your personal data may be transferred to countries outside the European Economic Area (EEA).</w:t>
      </w:r>
    </w:p>
    <w:p w14:paraId="0000001D"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4.2</w:t>
      </w:r>
      <w:r>
        <w:rPr>
          <w:color w:val="000000"/>
          <w:sz w:val="20"/>
          <w:szCs w:val="20"/>
        </w:rPr>
        <w:tab/>
        <w:t>We and our other group companies have offices and facilities in England, Scotland and Portugal. The European Commission has made an "adequacy decision" with respect to the data protection laws of each of these countries. Transfers to each of these countries will be protected by appropriate safeguards, namely the use of standard data protection clauses adopted or approved by the European Commission, a copy of which can be obtained from their website.</w:t>
      </w:r>
    </w:p>
    <w:p w14:paraId="0000001E" w14:textId="77777777" w:rsidR="00574E34" w:rsidRDefault="00000000">
      <w:pPr>
        <w:pBdr>
          <w:top w:val="nil"/>
          <w:left w:val="nil"/>
          <w:bottom w:val="nil"/>
          <w:right w:val="nil"/>
          <w:between w:val="nil"/>
        </w:pBdr>
        <w:tabs>
          <w:tab w:val="left" w:pos="600"/>
        </w:tabs>
        <w:spacing w:after="0" w:line="240" w:lineRule="auto"/>
        <w:ind w:left="600" w:hanging="600"/>
        <w:rPr>
          <w:sz w:val="20"/>
          <w:szCs w:val="20"/>
        </w:rPr>
      </w:pPr>
      <w:r>
        <w:rPr>
          <w:color w:val="000000"/>
          <w:sz w:val="20"/>
          <w:szCs w:val="20"/>
        </w:rPr>
        <w:t>4.3</w:t>
      </w:r>
      <w:r>
        <w:rPr>
          <w:color w:val="000000"/>
          <w:sz w:val="20"/>
          <w:szCs w:val="20"/>
        </w:rPr>
        <w:tab/>
      </w:r>
      <w:r>
        <w:rPr>
          <w:sz w:val="20"/>
          <w:szCs w:val="20"/>
        </w:rPr>
        <w:t xml:space="preserve">The application will be hosted on our UK based server, hosted on </w:t>
      </w:r>
      <w:proofErr w:type="spellStart"/>
      <w:r>
        <w:rPr>
          <w:sz w:val="20"/>
          <w:szCs w:val="20"/>
        </w:rPr>
        <w:t>Memset</w:t>
      </w:r>
      <w:proofErr w:type="spellEnd"/>
      <w:r>
        <w:rPr>
          <w:sz w:val="20"/>
          <w:szCs w:val="20"/>
        </w:rPr>
        <w:t xml:space="preserve"> (Virtual private server, based in Reading, UK).</w:t>
      </w:r>
    </w:p>
    <w:p w14:paraId="0000001F" w14:textId="77777777" w:rsidR="00574E34" w:rsidRDefault="00574E34">
      <w:pPr>
        <w:pBdr>
          <w:top w:val="nil"/>
          <w:left w:val="nil"/>
          <w:bottom w:val="nil"/>
          <w:right w:val="nil"/>
          <w:between w:val="nil"/>
        </w:pBdr>
        <w:tabs>
          <w:tab w:val="left" w:pos="600"/>
        </w:tabs>
        <w:spacing w:after="0" w:line="240" w:lineRule="auto"/>
        <w:ind w:left="600" w:hanging="600"/>
        <w:rPr>
          <w:sz w:val="20"/>
          <w:szCs w:val="20"/>
        </w:rPr>
      </w:pPr>
    </w:p>
    <w:p w14:paraId="00000020" w14:textId="77777777" w:rsidR="00574E34" w:rsidRPr="0094183B" w:rsidRDefault="00000000" w:rsidP="0094183B">
      <w:pPr>
        <w:pBdr>
          <w:top w:val="nil"/>
          <w:left w:val="nil"/>
          <w:bottom w:val="nil"/>
          <w:right w:val="nil"/>
          <w:between w:val="nil"/>
        </w:pBdr>
        <w:tabs>
          <w:tab w:val="left" w:pos="600"/>
        </w:tabs>
        <w:spacing w:after="0" w:line="240" w:lineRule="auto"/>
        <w:ind w:left="600" w:hanging="600"/>
        <w:rPr>
          <w:sz w:val="20"/>
          <w:szCs w:val="20"/>
        </w:rPr>
      </w:pPr>
      <w:r w:rsidRPr="0094183B">
        <w:rPr>
          <w:sz w:val="20"/>
          <w:szCs w:val="20"/>
        </w:rPr>
        <w:t>The European Commission has made an "adequacy decision" with respect to the data protection laws of this country. Transfers to this country will be protected by appropriate safeguards, namely the use of standard data protection clauses adopted or approved by the European Commission, a copy of which you can obtain from their website.</w:t>
      </w:r>
    </w:p>
    <w:p w14:paraId="00000021"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color w:val="000000"/>
          <w:sz w:val="20"/>
          <w:szCs w:val="20"/>
        </w:rPr>
        <w:lastRenderedPageBreak/>
        <w:t xml:space="preserve">4.4 </w:t>
      </w:r>
      <w:r>
        <w:rPr>
          <w:color w:val="000000"/>
          <w:sz w:val="20"/>
          <w:szCs w:val="20"/>
        </w:rPr>
        <w:tab/>
        <w:t>There is no anticipated need to transfer personal data to countries outside the UK and the EEA, however if this is required in the future a transfer will be protected by appropriate safeguards, namely the adequacy status of the receiving country as awarded by EU, or the use of standard data protection clauses adopted or approved by the European Commission, a copy of which you can obtain from their website.</w:t>
      </w:r>
    </w:p>
    <w:p w14:paraId="00000022" w14:textId="77777777" w:rsidR="00574E34" w:rsidRDefault="00574E34">
      <w:pPr>
        <w:pBdr>
          <w:top w:val="nil"/>
          <w:left w:val="nil"/>
          <w:bottom w:val="nil"/>
          <w:right w:val="nil"/>
          <w:between w:val="nil"/>
        </w:pBdr>
        <w:tabs>
          <w:tab w:val="left" w:pos="600"/>
        </w:tabs>
        <w:spacing w:after="0" w:line="240" w:lineRule="auto"/>
        <w:ind w:left="600" w:hanging="600"/>
        <w:rPr>
          <w:color w:val="000000"/>
          <w:sz w:val="20"/>
          <w:szCs w:val="20"/>
        </w:rPr>
      </w:pPr>
    </w:p>
    <w:p w14:paraId="00000023" w14:textId="77777777" w:rsidR="00574E34" w:rsidRDefault="00000000">
      <w:pPr>
        <w:pBdr>
          <w:top w:val="nil"/>
          <w:left w:val="nil"/>
          <w:bottom w:val="nil"/>
          <w:right w:val="nil"/>
          <w:between w:val="nil"/>
        </w:pBdr>
        <w:tabs>
          <w:tab w:val="left" w:pos="600"/>
        </w:tabs>
        <w:spacing w:after="0" w:line="240" w:lineRule="auto"/>
        <w:rPr>
          <w:color w:val="000000"/>
        </w:rPr>
      </w:pPr>
      <w:r>
        <w:rPr>
          <w:b/>
          <w:color w:val="000000"/>
          <w:sz w:val="20"/>
          <w:szCs w:val="20"/>
        </w:rPr>
        <w:t>5.</w:t>
      </w:r>
      <w:r>
        <w:rPr>
          <w:b/>
          <w:color w:val="000000"/>
          <w:sz w:val="20"/>
          <w:szCs w:val="20"/>
        </w:rPr>
        <w:tab/>
        <w:t>Retaining and deleting personal data</w:t>
      </w:r>
    </w:p>
    <w:p w14:paraId="00000024"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5.1</w:t>
      </w:r>
      <w:r>
        <w:rPr>
          <w:color w:val="000000"/>
          <w:sz w:val="20"/>
          <w:szCs w:val="20"/>
        </w:rPr>
        <w:tab/>
        <w:t>This Section 5 sets out our data retention policies and procedure, which are designed to help ensure that we comply with our legal obligations in relation to the retention and deletion of personal data.</w:t>
      </w:r>
    </w:p>
    <w:p w14:paraId="00000025"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5.2</w:t>
      </w:r>
      <w:r>
        <w:rPr>
          <w:color w:val="000000"/>
          <w:sz w:val="20"/>
          <w:szCs w:val="20"/>
        </w:rPr>
        <w:tab/>
        <w:t>Personal data that we process for any purpose or purposes shall not be kept for longer than is necessary for that purpose or those purposes.</w:t>
      </w:r>
    </w:p>
    <w:p w14:paraId="00000026" w14:textId="77777777" w:rsidR="00574E34" w:rsidRDefault="00000000">
      <w:pPr>
        <w:pBdr>
          <w:top w:val="nil"/>
          <w:left w:val="nil"/>
          <w:bottom w:val="nil"/>
          <w:right w:val="nil"/>
          <w:between w:val="nil"/>
        </w:pBdr>
        <w:tabs>
          <w:tab w:val="left" w:pos="600"/>
        </w:tabs>
        <w:spacing w:after="0" w:line="240" w:lineRule="auto"/>
        <w:ind w:left="600" w:hanging="600"/>
        <w:rPr>
          <w:sz w:val="20"/>
          <w:szCs w:val="20"/>
        </w:rPr>
      </w:pPr>
      <w:r>
        <w:rPr>
          <w:color w:val="000000"/>
          <w:sz w:val="20"/>
          <w:szCs w:val="20"/>
        </w:rPr>
        <w:t>5.3</w:t>
      </w:r>
      <w:r>
        <w:rPr>
          <w:color w:val="000000"/>
          <w:sz w:val="20"/>
          <w:szCs w:val="20"/>
        </w:rPr>
        <w:tab/>
      </w:r>
      <w:r>
        <w:rPr>
          <w:sz w:val="20"/>
          <w:szCs w:val="20"/>
        </w:rPr>
        <w:t>We will retain your personal data as follows:</w:t>
      </w:r>
    </w:p>
    <w:p w14:paraId="00000027" w14:textId="77777777" w:rsidR="00574E34" w:rsidRDefault="00000000">
      <w:pPr>
        <w:pBdr>
          <w:top w:val="nil"/>
          <w:left w:val="nil"/>
          <w:bottom w:val="nil"/>
          <w:right w:val="nil"/>
          <w:between w:val="nil"/>
        </w:pBdr>
        <w:tabs>
          <w:tab w:val="left" w:pos="1200"/>
        </w:tabs>
        <w:spacing w:after="0" w:line="240" w:lineRule="auto"/>
        <w:ind w:left="1200" w:hanging="600"/>
        <w:rPr>
          <w:sz w:val="20"/>
          <w:szCs w:val="20"/>
        </w:rPr>
      </w:pPr>
      <w:r>
        <w:rPr>
          <w:sz w:val="20"/>
          <w:szCs w:val="20"/>
        </w:rPr>
        <w:t>(a)</w:t>
      </w:r>
      <w:r>
        <w:rPr>
          <w:sz w:val="20"/>
          <w:szCs w:val="20"/>
        </w:rPr>
        <w:tab/>
        <w:t>Once the accounts are no longer active, personal data will be retained for a maximum period of</w:t>
      </w:r>
      <w:r>
        <w:rPr>
          <w:i/>
          <w:sz w:val="20"/>
          <w:szCs w:val="20"/>
        </w:rPr>
        <w:t xml:space="preserve"> </w:t>
      </w:r>
      <w:r>
        <w:rPr>
          <w:sz w:val="20"/>
          <w:szCs w:val="20"/>
        </w:rPr>
        <w:t>1 year following its submission on the web and mobile application(s).  Note that information which has been provided to client organisations (typically the hospital/university that looks after you) either in hard copy or electronic copies will not be subject to this retention period as this is no longer in our control.</w:t>
      </w:r>
    </w:p>
    <w:p w14:paraId="00000028" w14:textId="77777777" w:rsidR="00574E34" w:rsidRDefault="00000000">
      <w:pPr>
        <w:pBdr>
          <w:top w:val="nil"/>
          <w:left w:val="nil"/>
          <w:bottom w:val="nil"/>
          <w:right w:val="nil"/>
          <w:between w:val="nil"/>
        </w:pBdr>
        <w:tabs>
          <w:tab w:val="left" w:pos="1200"/>
        </w:tabs>
        <w:spacing w:after="0" w:line="240" w:lineRule="auto"/>
        <w:ind w:left="1200" w:hanging="600"/>
        <w:rPr>
          <w:sz w:val="20"/>
          <w:szCs w:val="20"/>
        </w:rPr>
      </w:pPr>
      <w:r>
        <w:rPr>
          <w:sz w:val="20"/>
          <w:szCs w:val="20"/>
        </w:rPr>
        <w:t xml:space="preserve">(b)   Client organisation data once no longer active, will be retained for a maximum period of </w:t>
      </w:r>
      <w:r>
        <w:rPr>
          <w:i/>
          <w:sz w:val="20"/>
          <w:szCs w:val="20"/>
        </w:rPr>
        <w:t>10 years</w:t>
      </w:r>
      <w:r>
        <w:rPr>
          <w:sz w:val="20"/>
          <w:szCs w:val="20"/>
        </w:rPr>
        <w:t>.  This typically would be an organisation name plus contact details for a named contact representing that organisation.</w:t>
      </w:r>
    </w:p>
    <w:p w14:paraId="00000029"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sz w:val="20"/>
          <w:szCs w:val="20"/>
        </w:rPr>
        <w:t>5.4</w:t>
      </w:r>
      <w:r>
        <w:rPr>
          <w:sz w:val="20"/>
          <w:szCs w:val="20"/>
        </w:rPr>
        <w:tab/>
        <w:t xml:space="preserve">Notwithstanding the other provisions of this Section 5, we may retain your </w:t>
      </w:r>
      <w:r>
        <w:rPr>
          <w:color w:val="000000"/>
          <w:sz w:val="20"/>
          <w:szCs w:val="20"/>
        </w:rPr>
        <w:t>personal data where such retention is necessary for compliance with a legal obligation to which we are subject, or in order to protect your vital interests or the vital interests of another natural person.</w:t>
      </w:r>
    </w:p>
    <w:p w14:paraId="0000002A" w14:textId="77777777" w:rsidR="00574E34" w:rsidRDefault="00000000">
      <w:pPr>
        <w:pBdr>
          <w:top w:val="nil"/>
          <w:left w:val="nil"/>
          <w:bottom w:val="nil"/>
          <w:right w:val="nil"/>
          <w:between w:val="nil"/>
        </w:pBdr>
        <w:tabs>
          <w:tab w:val="left" w:pos="600"/>
        </w:tabs>
        <w:spacing w:after="0" w:line="240" w:lineRule="auto"/>
        <w:rPr>
          <w:b/>
          <w:color w:val="000000"/>
          <w:sz w:val="20"/>
          <w:szCs w:val="20"/>
        </w:rPr>
      </w:pPr>
      <w:r>
        <w:rPr>
          <w:b/>
          <w:color w:val="000000"/>
          <w:sz w:val="20"/>
          <w:szCs w:val="20"/>
        </w:rPr>
        <w:t>6.</w:t>
      </w:r>
      <w:r>
        <w:rPr>
          <w:b/>
          <w:color w:val="000000"/>
          <w:sz w:val="20"/>
          <w:szCs w:val="20"/>
        </w:rPr>
        <w:tab/>
        <w:t>Amendments</w:t>
      </w:r>
    </w:p>
    <w:p w14:paraId="0000002B"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6.1</w:t>
      </w:r>
      <w:r>
        <w:rPr>
          <w:color w:val="000000"/>
          <w:sz w:val="20"/>
          <w:szCs w:val="20"/>
        </w:rPr>
        <w:tab/>
        <w:t>We may update this policy from time to time by publishing a new version on our website.</w:t>
      </w:r>
    </w:p>
    <w:p w14:paraId="0000002C" w14:textId="4210F10C"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6.2</w:t>
      </w:r>
      <w:r>
        <w:rPr>
          <w:color w:val="000000"/>
          <w:sz w:val="20"/>
          <w:szCs w:val="20"/>
        </w:rPr>
        <w:tab/>
        <w:t xml:space="preserve">You should check </w:t>
      </w:r>
      <w:hyperlink r:id="rId6" w:history="1">
        <w:r w:rsidRPr="009B77FF">
          <w:rPr>
            <w:rStyle w:val="Hyperlink"/>
            <w:sz w:val="20"/>
            <w:szCs w:val="20"/>
          </w:rPr>
          <w:t>this page</w:t>
        </w:r>
      </w:hyperlink>
      <w:r>
        <w:rPr>
          <w:color w:val="000000"/>
          <w:sz w:val="20"/>
          <w:szCs w:val="20"/>
        </w:rPr>
        <w:t xml:space="preserve"> occasionally to ensure you are happy with any changes to this policy.</w:t>
      </w:r>
    </w:p>
    <w:p w14:paraId="0000002D"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6.3</w:t>
      </w:r>
      <w:r>
        <w:rPr>
          <w:color w:val="000000"/>
          <w:sz w:val="20"/>
          <w:szCs w:val="20"/>
        </w:rPr>
        <w:tab/>
        <w:t>We may notify you of significant changes to this policy by email.</w:t>
      </w:r>
    </w:p>
    <w:p w14:paraId="0000002E" w14:textId="77777777" w:rsidR="00574E34" w:rsidRDefault="00000000">
      <w:pPr>
        <w:pBdr>
          <w:top w:val="nil"/>
          <w:left w:val="nil"/>
          <w:bottom w:val="nil"/>
          <w:right w:val="nil"/>
          <w:between w:val="nil"/>
        </w:pBdr>
        <w:tabs>
          <w:tab w:val="left" w:pos="600"/>
        </w:tabs>
        <w:spacing w:after="0" w:line="240" w:lineRule="auto"/>
        <w:rPr>
          <w:b/>
          <w:color w:val="000000"/>
          <w:sz w:val="20"/>
          <w:szCs w:val="20"/>
        </w:rPr>
      </w:pPr>
      <w:r>
        <w:rPr>
          <w:b/>
          <w:color w:val="000000"/>
          <w:sz w:val="20"/>
          <w:szCs w:val="20"/>
        </w:rPr>
        <w:t>7.</w:t>
      </w:r>
      <w:r>
        <w:rPr>
          <w:b/>
          <w:color w:val="000000"/>
          <w:sz w:val="20"/>
          <w:szCs w:val="20"/>
        </w:rPr>
        <w:tab/>
        <w:t>Your rights</w:t>
      </w:r>
    </w:p>
    <w:p w14:paraId="0000002F"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7.1</w:t>
      </w:r>
      <w:r>
        <w:rPr>
          <w:color w:val="000000"/>
          <w:sz w:val="20"/>
          <w:szCs w:val="20"/>
        </w:rPr>
        <w:tab/>
        <w:t xml:space="preserve">In this Section 7, we have </w:t>
      </w:r>
      <w:proofErr w:type="spellStart"/>
      <w:r>
        <w:rPr>
          <w:color w:val="000000"/>
          <w:sz w:val="20"/>
          <w:szCs w:val="20"/>
        </w:rPr>
        <w:t>summarised</w:t>
      </w:r>
      <w:proofErr w:type="spellEnd"/>
      <w:r>
        <w:rPr>
          <w:color w:val="000000"/>
          <w:sz w:val="20"/>
          <w:szCs w:val="20"/>
        </w:rPr>
        <w:t xml:space="preserve"> the rights that you have under data protection law. Some of the rights are complex, and not all of the details have been included in our summaries. Accordingly, you should read the relevant laws and guidance from the regulatory authorities for a full explanation of these rights.</w:t>
      </w:r>
    </w:p>
    <w:p w14:paraId="00000030"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7.2</w:t>
      </w:r>
      <w:r>
        <w:rPr>
          <w:color w:val="000000"/>
          <w:sz w:val="20"/>
          <w:szCs w:val="20"/>
        </w:rPr>
        <w:tab/>
        <w:t>Your principal rights under data protection law are:</w:t>
      </w:r>
    </w:p>
    <w:p w14:paraId="00000031"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(a)</w:t>
      </w:r>
      <w:r>
        <w:rPr>
          <w:color w:val="000000"/>
          <w:sz w:val="20"/>
          <w:szCs w:val="20"/>
        </w:rPr>
        <w:tab/>
        <w:t>the right to access;</w:t>
      </w:r>
    </w:p>
    <w:p w14:paraId="00000032"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(b)</w:t>
      </w:r>
      <w:r>
        <w:rPr>
          <w:color w:val="000000"/>
          <w:sz w:val="20"/>
          <w:szCs w:val="20"/>
        </w:rPr>
        <w:tab/>
        <w:t>the right to rectification;</w:t>
      </w:r>
    </w:p>
    <w:p w14:paraId="00000033"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(c)</w:t>
      </w:r>
      <w:r>
        <w:rPr>
          <w:color w:val="000000"/>
          <w:sz w:val="20"/>
          <w:szCs w:val="20"/>
        </w:rPr>
        <w:tab/>
        <w:t>the right to erasure;</w:t>
      </w:r>
    </w:p>
    <w:p w14:paraId="00000034"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(d)</w:t>
      </w:r>
      <w:r>
        <w:rPr>
          <w:color w:val="000000"/>
          <w:sz w:val="20"/>
          <w:szCs w:val="20"/>
        </w:rPr>
        <w:tab/>
        <w:t>the right to restrict processing;</w:t>
      </w:r>
    </w:p>
    <w:p w14:paraId="00000035"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(e)</w:t>
      </w:r>
      <w:r>
        <w:rPr>
          <w:color w:val="000000"/>
          <w:sz w:val="20"/>
          <w:szCs w:val="20"/>
        </w:rPr>
        <w:tab/>
        <w:t>the right to object to processing;</w:t>
      </w:r>
    </w:p>
    <w:p w14:paraId="00000036"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(f)</w:t>
      </w:r>
      <w:r>
        <w:rPr>
          <w:color w:val="000000"/>
          <w:sz w:val="20"/>
          <w:szCs w:val="20"/>
        </w:rPr>
        <w:tab/>
        <w:t>the right to data portability;</w:t>
      </w:r>
    </w:p>
    <w:p w14:paraId="00000037" w14:textId="77777777" w:rsidR="00574E34" w:rsidRDefault="00000000">
      <w:pPr>
        <w:ind w:left="600"/>
      </w:pPr>
      <w:r>
        <w:rPr>
          <w:color w:val="000000"/>
          <w:sz w:val="20"/>
          <w:szCs w:val="20"/>
        </w:rPr>
        <w:t xml:space="preserve">(g)     the right to complain to a supervisory authority, in the UK this is </w:t>
      </w:r>
      <w:r>
        <w:rPr>
          <w:color w:val="000000"/>
          <w:sz w:val="20"/>
          <w:szCs w:val="20"/>
        </w:rPr>
        <w:tab/>
      </w:r>
      <w:r>
        <w:rPr>
          <w:color w:val="000000"/>
          <w:sz w:val="20"/>
          <w:szCs w:val="20"/>
        </w:rPr>
        <w:tab/>
        <w:t xml:space="preserve">        the Information Commissioner (</w:t>
      </w:r>
      <w:hyperlink r:id="rId7">
        <w:r>
          <w:rPr>
            <w:rFonts w:ascii="Times New Roman" w:eastAsia="Times New Roman" w:hAnsi="Times New Roman" w:cs="Times New Roman"/>
            <w:color w:val="0000FF"/>
            <w:sz w:val="24"/>
            <w:szCs w:val="24"/>
            <w:u w:val="single"/>
          </w:rPr>
          <w:t>https://ico.org.uk/</w:t>
        </w:r>
      </w:hyperlink>
      <w:r>
        <w:rPr>
          <w:color w:val="000000"/>
          <w:sz w:val="20"/>
          <w:szCs w:val="20"/>
        </w:rPr>
        <w:t>); and</w:t>
      </w:r>
    </w:p>
    <w:p w14:paraId="00000038"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(h)</w:t>
      </w:r>
      <w:r>
        <w:rPr>
          <w:color w:val="000000"/>
          <w:sz w:val="20"/>
          <w:szCs w:val="20"/>
        </w:rPr>
        <w:tab/>
        <w:t>the right to withdraw consent.</w:t>
      </w:r>
    </w:p>
    <w:p w14:paraId="00000039"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7.3</w:t>
      </w:r>
      <w:r>
        <w:rPr>
          <w:color w:val="000000"/>
          <w:sz w:val="20"/>
          <w:szCs w:val="20"/>
        </w:rPr>
        <w:tab/>
        <w:t xml:space="preserve">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w:t>
      </w:r>
      <w:r>
        <w:rPr>
          <w:color w:val="000000"/>
          <w:sz w:val="20"/>
          <w:szCs w:val="20"/>
        </w:rPr>
        <w:lastRenderedPageBreak/>
        <w:t>The copy of your personal data will be provided may be subject to £10 administration fee.</w:t>
      </w:r>
    </w:p>
    <w:p w14:paraId="0000003A"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7.4</w:t>
      </w:r>
      <w:r>
        <w:rPr>
          <w:color w:val="000000"/>
          <w:sz w:val="20"/>
          <w:szCs w:val="20"/>
        </w:rPr>
        <w:tab/>
        <w:t>You have the right to have any inaccurate personal data about you rectified and, taking into account the purposes of the processing, to have any incomplete personal data about you completed.</w:t>
      </w:r>
    </w:p>
    <w:p w14:paraId="0000003B"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7.5</w:t>
      </w:r>
      <w:r>
        <w:rPr>
          <w:color w:val="000000"/>
          <w:sz w:val="20"/>
          <w:szCs w:val="20"/>
        </w:rPr>
        <w:tab/>
        <w:t>In some circumstances you have the right to the erasure of your personal data without undue delay. Those circumstances include: the personal data are no longer necessary in relation to the purposes for which they were collected or otherwise processed;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defence of legal claims.</w:t>
      </w:r>
    </w:p>
    <w:p w14:paraId="0000003C"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7.6</w:t>
      </w:r>
      <w:r>
        <w:rPr>
          <w:color w:val="000000"/>
          <w:sz w:val="20"/>
          <w:szCs w:val="20"/>
        </w:rPr>
        <w:tab/>
        <w:t>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14:paraId="0000003D"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7.7</w:t>
      </w:r>
      <w:r>
        <w:rPr>
          <w:color w:val="000000"/>
          <w:sz w:val="20"/>
          <w:szCs w:val="20"/>
        </w:rPr>
        <w:tab/>
        <w:t>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14:paraId="0000003E"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7.8</w:t>
      </w:r>
      <w:r>
        <w:rPr>
          <w:color w:val="000000"/>
          <w:sz w:val="20"/>
          <w:szCs w:val="20"/>
        </w:rPr>
        <w:tab/>
        <w:t>You have the right to object to our processing of your personal data for direct marketing purposes (including profiling for direct marketing purposes). If you make such an objection, we will cease to process your personal data for this purpose.</w:t>
      </w:r>
    </w:p>
    <w:p w14:paraId="0000003F"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7.9</w:t>
      </w:r>
      <w:r>
        <w:rPr>
          <w:color w:val="000000"/>
          <w:sz w:val="20"/>
          <w:szCs w:val="20"/>
        </w:rPr>
        <w:tab/>
        <w:t>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14:paraId="00000040"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7.10</w:t>
      </w:r>
      <w:r>
        <w:rPr>
          <w:color w:val="000000"/>
          <w:sz w:val="20"/>
          <w:szCs w:val="20"/>
        </w:rPr>
        <w:tab/>
        <w:t>If you consider that our processing of your personal information infringes data protection laws, you have a legal right to lodge a complaint with a supervisory authority responsible for data protection, but please do let us know in the first instance. You may do so in the EU member state of your habitual residence, your place of work or the place of the alleged infringement.</w:t>
      </w:r>
    </w:p>
    <w:p w14:paraId="00000041"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7.11</w:t>
      </w:r>
      <w:r>
        <w:rPr>
          <w:color w:val="000000"/>
          <w:sz w:val="20"/>
          <w:szCs w:val="20"/>
        </w:rPr>
        <w:tab/>
        <w:t>To the extent that the legal basis for our processing of your personal information is consent, you have the right to withdraw that consent at any time. Withdrawal will not affect the lawfulness of processing before the withdrawal.</w:t>
      </w:r>
    </w:p>
    <w:p w14:paraId="00000042"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color w:val="000000"/>
          <w:sz w:val="20"/>
          <w:szCs w:val="20"/>
        </w:rPr>
        <w:t>7.12</w:t>
      </w:r>
      <w:r>
        <w:rPr>
          <w:color w:val="000000"/>
          <w:sz w:val="20"/>
          <w:szCs w:val="20"/>
        </w:rPr>
        <w:tab/>
        <w:t>You may exercise any of your rights in relation to your personal data by written notice to us using the form at www.cambridgedigitalhealth.co.uk.</w:t>
      </w:r>
    </w:p>
    <w:p w14:paraId="00000043" w14:textId="77777777" w:rsidR="00574E34" w:rsidRDefault="00000000">
      <w:pPr>
        <w:pBdr>
          <w:top w:val="nil"/>
          <w:left w:val="nil"/>
          <w:bottom w:val="nil"/>
          <w:right w:val="nil"/>
          <w:between w:val="nil"/>
        </w:pBdr>
        <w:tabs>
          <w:tab w:val="left" w:pos="600"/>
        </w:tabs>
        <w:spacing w:after="0" w:line="240" w:lineRule="auto"/>
        <w:rPr>
          <w:b/>
          <w:color w:val="000000"/>
          <w:sz w:val="20"/>
          <w:szCs w:val="20"/>
        </w:rPr>
      </w:pPr>
      <w:r>
        <w:rPr>
          <w:b/>
          <w:sz w:val="20"/>
          <w:szCs w:val="20"/>
        </w:rPr>
        <w:t>8.</w:t>
      </w:r>
      <w:r>
        <w:rPr>
          <w:b/>
          <w:color w:val="000000"/>
          <w:sz w:val="20"/>
          <w:szCs w:val="20"/>
        </w:rPr>
        <w:tab/>
        <w:t>Our details</w:t>
      </w:r>
    </w:p>
    <w:p w14:paraId="00000044"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sz w:val="20"/>
          <w:szCs w:val="20"/>
        </w:rPr>
        <w:lastRenderedPageBreak/>
        <w:t>8</w:t>
      </w:r>
      <w:r>
        <w:rPr>
          <w:color w:val="000000"/>
          <w:sz w:val="20"/>
          <w:szCs w:val="20"/>
        </w:rPr>
        <w:t>.1</w:t>
      </w:r>
      <w:r>
        <w:rPr>
          <w:color w:val="000000"/>
          <w:sz w:val="20"/>
          <w:szCs w:val="20"/>
        </w:rPr>
        <w:tab/>
        <w:t>This website and mobile application is owned and operated by Cambridge Digital Health ltd.</w:t>
      </w:r>
    </w:p>
    <w:p w14:paraId="00000045"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sz w:val="20"/>
          <w:szCs w:val="20"/>
        </w:rPr>
        <w:t>8</w:t>
      </w:r>
      <w:r>
        <w:rPr>
          <w:color w:val="000000"/>
          <w:sz w:val="20"/>
          <w:szCs w:val="20"/>
        </w:rPr>
        <w:t>.2</w:t>
      </w:r>
      <w:r>
        <w:rPr>
          <w:color w:val="000000"/>
          <w:sz w:val="20"/>
          <w:szCs w:val="20"/>
        </w:rPr>
        <w:tab/>
        <w:t>We are registered in England and Wales under registration number 10274147, and our registered office is at Cambridge Digital Health, 320 Cambridge Science Park, Cambridge, CB4 0WG.</w:t>
      </w:r>
    </w:p>
    <w:p w14:paraId="00000046" w14:textId="77777777" w:rsidR="00574E34" w:rsidRDefault="00000000">
      <w:pPr>
        <w:pBdr>
          <w:top w:val="nil"/>
          <w:left w:val="nil"/>
          <w:bottom w:val="nil"/>
          <w:right w:val="nil"/>
          <w:between w:val="nil"/>
        </w:pBdr>
        <w:tabs>
          <w:tab w:val="left" w:pos="600"/>
        </w:tabs>
        <w:spacing w:after="0" w:line="240" w:lineRule="auto"/>
        <w:ind w:left="600" w:hanging="600"/>
        <w:rPr>
          <w:color w:val="000000"/>
        </w:rPr>
      </w:pPr>
      <w:r>
        <w:rPr>
          <w:sz w:val="20"/>
          <w:szCs w:val="20"/>
        </w:rPr>
        <w:t>8</w:t>
      </w:r>
      <w:r>
        <w:rPr>
          <w:color w:val="000000"/>
          <w:sz w:val="20"/>
          <w:szCs w:val="20"/>
        </w:rPr>
        <w:t>.3</w:t>
      </w:r>
      <w:r>
        <w:rPr>
          <w:color w:val="000000"/>
          <w:sz w:val="20"/>
          <w:szCs w:val="20"/>
        </w:rPr>
        <w:tab/>
        <w:t>Our principal place of business is at the Cambridge Digital Health, 320 Cambridge Science Park, Cambridge, CB4 0WG.</w:t>
      </w:r>
    </w:p>
    <w:p w14:paraId="00000047"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sz w:val="20"/>
          <w:szCs w:val="20"/>
        </w:rPr>
        <w:t>8</w:t>
      </w:r>
      <w:r>
        <w:rPr>
          <w:color w:val="000000"/>
          <w:sz w:val="20"/>
          <w:szCs w:val="20"/>
        </w:rPr>
        <w:t>.4</w:t>
      </w:r>
      <w:r>
        <w:rPr>
          <w:color w:val="000000"/>
          <w:sz w:val="20"/>
          <w:szCs w:val="20"/>
        </w:rPr>
        <w:tab/>
        <w:t>You can contact us:</w:t>
      </w:r>
    </w:p>
    <w:p w14:paraId="00000048"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(a)</w:t>
      </w:r>
      <w:r>
        <w:rPr>
          <w:color w:val="000000"/>
          <w:sz w:val="20"/>
          <w:szCs w:val="20"/>
        </w:rPr>
        <w:tab/>
        <w:t>by post, to Cambridge Digital Health, 320 Cambridge Science Park, Cambridge, CB4 0WG</w:t>
      </w:r>
    </w:p>
    <w:p w14:paraId="00000049"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(b)</w:t>
      </w:r>
      <w:r>
        <w:rPr>
          <w:color w:val="000000"/>
          <w:sz w:val="20"/>
          <w:szCs w:val="20"/>
        </w:rPr>
        <w:tab/>
        <w:t>using our website contact form at www.cambridgedigitalhealth.co.uk.</w:t>
      </w:r>
    </w:p>
    <w:p w14:paraId="0000004A" w14:textId="77777777" w:rsidR="00574E34" w:rsidRDefault="00000000">
      <w:pPr>
        <w:pBdr>
          <w:top w:val="nil"/>
          <w:left w:val="nil"/>
          <w:bottom w:val="nil"/>
          <w:right w:val="nil"/>
          <w:between w:val="nil"/>
        </w:pBdr>
        <w:tabs>
          <w:tab w:val="left" w:pos="1200"/>
        </w:tabs>
        <w:spacing w:after="0" w:line="240" w:lineRule="auto"/>
        <w:ind w:left="1200" w:hanging="600"/>
        <w:rPr>
          <w:color w:val="000000"/>
          <w:sz w:val="20"/>
          <w:szCs w:val="20"/>
        </w:rPr>
      </w:pPr>
      <w:r>
        <w:rPr>
          <w:color w:val="000000"/>
          <w:sz w:val="20"/>
          <w:szCs w:val="20"/>
        </w:rPr>
        <w:t>(c)</w:t>
      </w:r>
      <w:r>
        <w:rPr>
          <w:color w:val="000000"/>
          <w:sz w:val="20"/>
          <w:szCs w:val="20"/>
        </w:rPr>
        <w:tab/>
        <w:t>by email, using the email address published on our website at www.cambridgedigitalhealth.co.uk.</w:t>
      </w:r>
    </w:p>
    <w:p w14:paraId="0000004B" w14:textId="77777777" w:rsidR="00574E34" w:rsidRDefault="00574E34">
      <w:pPr>
        <w:pBdr>
          <w:top w:val="nil"/>
          <w:left w:val="nil"/>
          <w:bottom w:val="nil"/>
          <w:right w:val="nil"/>
          <w:between w:val="nil"/>
        </w:pBdr>
        <w:tabs>
          <w:tab w:val="left" w:pos="1200"/>
        </w:tabs>
        <w:spacing w:after="0" w:line="240" w:lineRule="auto"/>
        <w:ind w:left="1200" w:hanging="600"/>
        <w:rPr>
          <w:i/>
          <w:color w:val="000000"/>
          <w:sz w:val="20"/>
          <w:szCs w:val="20"/>
        </w:rPr>
      </w:pPr>
    </w:p>
    <w:p w14:paraId="0000004C" w14:textId="77777777" w:rsidR="00574E34" w:rsidRDefault="00000000">
      <w:pPr>
        <w:pBdr>
          <w:top w:val="nil"/>
          <w:left w:val="nil"/>
          <w:bottom w:val="nil"/>
          <w:right w:val="nil"/>
          <w:between w:val="nil"/>
        </w:pBdr>
        <w:tabs>
          <w:tab w:val="left" w:pos="600"/>
        </w:tabs>
        <w:spacing w:after="0" w:line="240" w:lineRule="auto"/>
        <w:rPr>
          <w:b/>
          <w:color w:val="000000"/>
          <w:sz w:val="20"/>
          <w:szCs w:val="20"/>
        </w:rPr>
      </w:pPr>
      <w:r>
        <w:rPr>
          <w:b/>
          <w:sz w:val="20"/>
          <w:szCs w:val="20"/>
        </w:rPr>
        <w:t>9</w:t>
      </w:r>
      <w:r>
        <w:rPr>
          <w:b/>
          <w:color w:val="000000"/>
          <w:sz w:val="20"/>
          <w:szCs w:val="20"/>
        </w:rPr>
        <w:t>.</w:t>
      </w:r>
      <w:r>
        <w:rPr>
          <w:b/>
          <w:color w:val="000000"/>
          <w:sz w:val="20"/>
          <w:szCs w:val="20"/>
        </w:rPr>
        <w:tab/>
        <w:t>Data protection officer</w:t>
      </w:r>
    </w:p>
    <w:p w14:paraId="0000004D" w14:textId="77777777" w:rsidR="00574E34" w:rsidRDefault="00000000">
      <w:pPr>
        <w:pBdr>
          <w:top w:val="nil"/>
          <w:left w:val="nil"/>
          <w:bottom w:val="nil"/>
          <w:right w:val="nil"/>
          <w:between w:val="nil"/>
        </w:pBdr>
        <w:tabs>
          <w:tab w:val="left" w:pos="600"/>
        </w:tabs>
        <w:spacing w:after="0" w:line="240" w:lineRule="auto"/>
        <w:ind w:left="600" w:hanging="600"/>
        <w:rPr>
          <w:color w:val="000000"/>
          <w:sz w:val="20"/>
          <w:szCs w:val="20"/>
        </w:rPr>
      </w:pPr>
      <w:r>
        <w:rPr>
          <w:sz w:val="20"/>
          <w:szCs w:val="20"/>
        </w:rPr>
        <w:t>9</w:t>
      </w:r>
      <w:r>
        <w:rPr>
          <w:color w:val="000000"/>
          <w:sz w:val="20"/>
          <w:szCs w:val="20"/>
        </w:rPr>
        <w:t>.1</w:t>
      </w:r>
      <w:r>
        <w:rPr>
          <w:color w:val="000000"/>
          <w:sz w:val="20"/>
          <w:szCs w:val="20"/>
        </w:rPr>
        <w:tab/>
        <w:t xml:space="preserve">Our data protection officer's contact details are: Dr Oriane </w:t>
      </w:r>
      <w:proofErr w:type="spellStart"/>
      <w:r>
        <w:rPr>
          <w:color w:val="000000"/>
          <w:sz w:val="20"/>
          <w:szCs w:val="20"/>
        </w:rPr>
        <w:t>Chausiaux</w:t>
      </w:r>
      <w:proofErr w:type="spellEnd"/>
      <w:r>
        <w:rPr>
          <w:color w:val="000000"/>
          <w:sz w:val="20"/>
          <w:szCs w:val="20"/>
        </w:rPr>
        <w:t>, Director.</w:t>
      </w:r>
    </w:p>
    <w:p w14:paraId="0000004E" w14:textId="77777777" w:rsidR="00574E34" w:rsidRDefault="00574E34">
      <w:pPr>
        <w:pBdr>
          <w:top w:val="nil"/>
          <w:left w:val="nil"/>
          <w:bottom w:val="nil"/>
          <w:right w:val="nil"/>
          <w:between w:val="nil"/>
        </w:pBdr>
        <w:spacing w:after="0" w:line="240" w:lineRule="auto"/>
        <w:rPr>
          <w:color w:val="000000"/>
        </w:rPr>
      </w:pPr>
    </w:p>
    <w:sectPr w:rsidR="00574E34">
      <w:pgSz w:w="11906" w:h="16838"/>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ade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34"/>
    <w:rsid w:val="00143166"/>
    <w:rsid w:val="00324931"/>
    <w:rsid w:val="00574E34"/>
    <w:rsid w:val="007006A7"/>
    <w:rsid w:val="007B3037"/>
    <w:rsid w:val="0094183B"/>
    <w:rsid w:val="009B77FF"/>
    <w:rsid w:val="00B0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DD61"/>
  <w15:docId w15:val="{1B1095CC-8D43-4B26-BC23-849A2A23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kern w:val="2"/>
      <w:lang w:eastAsia="zh-CN" w:bidi="hi-IN"/>
    </w:rPr>
  </w:style>
  <w:style w:type="paragraph" w:styleId="Heading1">
    <w:name w:val="heading 1"/>
    <w:basedOn w:val="Normal"/>
    <w:uiPriority w:val="9"/>
    <w:qFormat/>
    <w:pPr>
      <w:keepNext/>
      <w:keepLines/>
      <w:spacing w:before="480" w:after="120" w:line="240" w:lineRule="auto"/>
      <w:outlineLvl w:val="0"/>
    </w:pPr>
    <w:rPr>
      <w:b/>
      <w:sz w:val="48"/>
      <w:szCs w:val="48"/>
    </w:rPr>
  </w:style>
  <w:style w:type="paragraph" w:styleId="Heading2">
    <w:name w:val="heading 2"/>
    <w:basedOn w:val="Normal"/>
    <w:uiPriority w:val="9"/>
    <w:semiHidden/>
    <w:unhideWhenUsed/>
    <w:qFormat/>
    <w:pPr>
      <w:keepNext/>
      <w:keepLines/>
      <w:spacing w:before="360" w:after="80" w:line="240" w:lineRule="auto"/>
      <w:outlineLvl w:val="1"/>
    </w:pPr>
    <w:rPr>
      <w:b/>
      <w:sz w:val="36"/>
      <w:szCs w:val="36"/>
    </w:rPr>
  </w:style>
  <w:style w:type="paragraph" w:styleId="Heading3">
    <w:name w:val="heading 3"/>
    <w:basedOn w:val="Normal"/>
    <w:uiPriority w:val="9"/>
    <w:semiHidden/>
    <w:unhideWhenUsed/>
    <w:qFormat/>
    <w:pPr>
      <w:keepNext/>
      <w:keepLines/>
      <w:spacing w:before="280" w:after="80" w:line="240" w:lineRule="auto"/>
      <w:outlineLvl w:val="2"/>
    </w:pPr>
    <w:rPr>
      <w:b/>
      <w:sz w:val="28"/>
      <w:szCs w:val="28"/>
    </w:rPr>
  </w:style>
  <w:style w:type="paragraph" w:styleId="Heading4">
    <w:name w:val="heading 4"/>
    <w:basedOn w:val="Normal"/>
    <w:uiPriority w:val="9"/>
    <w:semiHidden/>
    <w:unhideWhenUsed/>
    <w:qFormat/>
    <w:pPr>
      <w:keepNext/>
      <w:keepLines/>
      <w:spacing w:before="240" w:after="40" w:line="240" w:lineRule="auto"/>
      <w:outlineLvl w:val="3"/>
    </w:pPr>
    <w:rPr>
      <w:b/>
      <w:sz w:val="24"/>
      <w:szCs w:val="24"/>
    </w:rPr>
  </w:style>
  <w:style w:type="paragraph" w:styleId="Heading5">
    <w:name w:val="heading 5"/>
    <w:basedOn w:val="Normal"/>
    <w:uiPriority w:val="9"/>
    <w:semiHidden/>
    <w:unhideWhenUsed/>
    <w:qFormat/>
    <w:pPr>
      <w:keepNext/>
      <w:keepLines/>
      <w:spacing w:before="220" w:after="40" w:line="240" w:lineRule="auto"/>
      <w:outlineLvl w:val="4"/>
    </w:pPr>
    <w:rPr>
      <w:b/>
    </w:rPr>
  </w:style>
  <w:style w:type="paragraph" w:styleId="Heading6">
    <w:name w:val="heading 6"/>
    <w:basedOn w:val="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line="240" w:lineRule="auto"/>
    </w:pPr>
    <w:rPr>
      <w:b/>
      <w:sz w:val="72"/>
      <w:szCs w:val="72"/>
    </w:rPr>
  </w:style>
  <w:style w:type="character" w:customStyle="1" w:styleId="Internetlink">
    <w:name w:val="Internet link"/>
    <w:qFormat/>
    <w:rPr>
      <w:color w:val="000080"/>
      <w:u w:val="single"/>
    </w:rPr>
  </w:style>
  <w:style w:type="character" w:customStyle="1" w:styleId="InternetLink0">
    <w:name w:val="Internet Link"/>
    <w:basedOn w:val="DefaultParagraphFont"/>
    <w:uiPriority w:val="99"/>
    <w:semiHidden/>
    <w:unhideWhenUsed/>
    <w:rsid w:val="009B2F29"/>
    <w:rPr>
      <w:color w:val="0000FF"/>
      <w:u w:val="single"/>
    </w:rPr>
  </w:style>
  <w:style w:type="character" w:customStyle="1" w:styleId="ListLabel1">
    <w:name w:val="ListLabel 1"/>
    <w:qFormat/>
    <w:rPr>
      <w:color w:val="000000"/>
      <w:sz w:val="20"/>
      <w:szCs w:val="20"/>
    </w:rPr>
  </w:style>
  <w:style w:type="character" w:customStyle="1" w:styleId="ListLabel2">
    <w:name w:val="ListLabel 2"/>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3">
    <w:name w:val="ListLabel 3"/>
    <w:qFormat/>
    <w:rPr>
      <w:color w:val="000000"/>
      <w:sz w:val="20"/>
      <w:szCs w:val="20"/>
    </w:rPr>
  </w:style>
  <w:style w:type="character" w:customStyle="1" w:styleId="ListLabel4">
    <w:name w:val="ListLabel 4"/>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5">
    <w:name w:val="ListLabel 5"/>
    <w:qFormat/>
    <w:rPr>
      <w:color w:val="000000"/>
      <w:sz w:val="20"/>
      <w:szCs w:val="20"/>
    </w:rPr>
  </w:style>
  <w:style w:type="character" w:customStyle="1" w:styleId="ListLabel6">
    <w:name w:val="ListLabel 6"/>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7">
    <w:name w:val="ListLabel 7"/>
    <w:qFormat/>
    <w:rPr>
      <w:color w:val="000000"/>
      <w:sz w:val="20"/>
      <w:szCs w:val="20"/>
    </w:rPr>
  </w:style>
  <w:style w:type="character" w:customStyle="1" w:styleId="ListLabel8">
    <w:name w:val="ListLabel 8"/>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9">
    <w:name w:val="ListLabel 9"/>
    <w:qFormat/>
    <w:rPr>
      <w:color w:val="000000"/>
      <w:sz w:val="20"/>
      <w:szCs w:val="20"/>
    </w:rPr>
  </w:style>
  <w:style w:type="character" w:customStyle="1" w:styleId="ListLabel10">
    <w:name w:val="ListLabel 10"/>
    <w:qFormat/>
    <w:rPr>
      <w:rFonts w:ascii="Times New Roman" w:eastAsia="Times New Roman" w:hAnsi="Times New Roman" w:cs="Times New Roman"/>
      <w:color w:val="0000FF"/>
      <w:kern w:val="0"/>
      <w:sz w:val="24"/>
      <w:szCs w:val="24"/>
      <w:u w:val="single"/>
      <w:lang w:val="en-GB" w:eastAsia="en-GB" w:bidi="ar-SA"/>
    </w:rPr>
  </w:style>
  <w:style w:type="character" w:customStyle="1" w:styleId="ListLabel11">
    <w:name w:val="ListLabel 11"/>
    <w:qFormat/>
    <w:rPr>
      <w:color w:val="000000"/>
      <w:sz w:val="20"/>
      <w:szCs w:val="20"/>
    </w:rPr>
  </w:style>
  <w:style w:type="character" w:customStyle="1" w:styleId="ListLabel12">
    <w:name w:val="ListLabel 12"/>
    <w:qFormat/>
    <w:rPr>
      <w:rFonts w:ascii="Times New Roman" w:eastAsia="Times New Roman" w:hAnsi="Times New Roman" w:cs="Times New Roman"/>
      <w:color w:val="0000FF"/>
      <w:kern w:val="0"/>
      <w:sz w:val="24"/>
      <w:szCs w:val="24"/>
      <w:u w:val="single"/>
      <w:lang w:val="en-GB" w:eastAsia="en-GB" w:bidi="ar-SA"/>
    </w:rPr>
  </w:style>
  <w:style w:type="paragraph" w:customStyle="1" w:styleId="Heading">
    <w:name w:val="Heading"/>
    <w:basedOn w:val="Normal"/>
    <w:next w:val="BodyText"/>
    <w:qFormat/>
    <w:pPr>
      <w:keepNext/>
      <w:widowControl w:val="0"/>
      <w:spacing w:before="240" w:after="120"/>
    </w:pPr>
    <w:rPr>
      <w:rFonts w:ascii="Caladea" w:eastAsia="Caladea" w:hAnsi="Caladea" w:cs="Caladea"/>
      <w:sz w:val="28"/>
      <w:szCs w:val="28"/>
    </w:rPr>
  </w:style>
  <w:style w:type="paragraph" w:styleId="BodyText">
    <w:name w:val="Body Text"/>
    <w:basedOn w:val="Normal"/>
    <w:pPr>
      <w:spacing w:after="140"/>
    </w:pPr>
  </w:style>
  <w:style w:type="paragraph" w:styleId="List">
    <w:name w:val="List"/>
    <w:basedOn w:val="Normal"/>
    <w:pPr>
      <w:widowControl w:val="0"/>
    </w:pPr>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Normal"/>
    <w:qFormat/>
    <w:pPr>
      <w:widowControl w:val="0"/>
      <w:suppressLineNumbers/>
    </w:pPr>
    <w:rPr>
      <w:sz w:val="24"/>
    </w:rPr>
  </w:style>
  <w:style w:type="paragraph" w:customStyle="1" w:styleId="Standard">
    <w:name w:val="Standard"/>
    <w:qFormat/>
    <w:rPr>
      <w:kern w:val="2"/>
      <w:lang w:eastAsia="zh-CN" w:bidi="hi-IN"/>
    </w:rPr>
  </w:style>
  <w:style w:type="paragraph" w:customStyle="1" w:styleId="Textbody">
    <w:name w:val="Text body"/>
    <w:basedOn w:val="Standard"/>
    <w:qFormat/>
    <w:pPr>
      <w:spacing w:after="140" w:line="288" w:lineRule="auto"/>
    </w:pPr>
  </w:style>
  <w:style w:type="paragraph" w:styleId="Subtitle">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paragraph" w:styleId="Revision">
    <w:name w:val="Revision"/>
    <w:hidden/>
    <w:uiPriority w:val="99"/>
    <w:semiHidden/>
    <w:rsid w:val="00324931"/>
    <w:pPr>
      <w:spacing w:after="0" w:line="240" w:lineRule="auto"/>
    </w:pPr>
    <w:rPr>
      <w:rFonts w:cs="Mangal"/>
      <w:kern w:val="2"/>
      <w:szCs w:val="20"/>
      <w:lang w:eastAsia="zh-CN" w:bidi="hi-IN"/>
    </w:rPr>
  </w:style>
  <w:style w:type="character" w:styleId="Hyperlink">
    <w:name w:val="Hyperlink"/>
    <w:basedOn w:val="DefaultParagraphFont"/>
    <w:uiPriority w:val="99"/>
    <w:unhideWhenUsed/>
    <w:rsid w:val="009B77FF"/>
    <w:rPr>
      <w:color w:val="0563C1" w:themeColor="hyperlink"/>
      <w:u w:val="single"/>
    </w:rPr>
  </w:style>
  <w:style w:type="character" w:styleId="UnresolvedMention">
    <w:name w:val="Unresolved Mention"/>
    <w:basedOn w:val="DefaultParagraphFont"/>
    <w:uiPriority w:val="99"/>
    <w:semiHidden/>
    <w:unhideWhenUsed/>
    <w:rsid w:val="009B77FF"/>
    <w:rPr>
      <w:color w:val="605E5C"/>
      <w:shd w:val="clear" w:color="auto" w:fill="E1DFDD"/>
    </w:rPr>
  </w:style>
  <w:style w:type="character" w:styleId="FollowedHyperlink">
    <w:name w:val="FollowedHyperlink"/>
    <w:basedOn w:val="DefaultParagraphFont"/>
    <w:uiPriority w:val="99"/>
    <w:semiHidden/>
    <w:unhideWhenUsed/>
    <w:rsid w:val="007006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mbridgedigitalhealth.co.uk/nipe-app" TargetMode="External"/><Relationship Id="rId5" Type="http://schemas.openxmlformats.org/officeDocument/2006/relationships/hyperlink" Target="http://www.cambridgedigitalhealth.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m6YeNp65LnP5mi5kcRaRc8oag==">AMUW2mX5YXP+Hx0zD8pwv1YB3E/W7Rs47EJPYJyw/TqWtuHR/ChHOA8KuSx7/wgrOWTNHL+zc/O8jjzYSYtkvYDwpaukzblsRKEVpilYusG4vKS/tf5IKB8=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Baker</dc:creator>
  <cp:lastModifiedBy>Natalya Butterworth</cp:lastModifiedBy>
  <cp:revision>8</cp:revision>
  <dcterms:created xsi:type="dcterms:W3CDTF">2022-11-03T14:33:00Z</dcterms:created>
  <dcterms:modified xsi:type="dcterms:W3CDTF">2023-02-05T22:22:00Z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